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B5" w:rsidRPr="00DA7E84" w:rsidRDefault="00AB62B5" w:rsidP="00AB62B5">
      <w:pPr>
        <w:shd w:val="clear" w:color="auto" w:fill="FFFFFF"/>
        <w:spacing w:after="0" w:line="400" w:lineRule="atLeast"/>
        <w:ind w:firstLine="720"/>
        <w:jc w:val="center"/>
        <w:rPr>
          <w:rFonts w:ascii="Times New Roman" w:eastAsia="Times New Roman" w:hAnsi="Times New Roman" w:cs="Times New Roman"/>
          <w:b/>
          <w:sz w:val="28"/>
          <w:szCs w:val="28"/>
        </w:rPr>
      </w:pPr>
      <w:r w:rsidRPr="00DA7E84">
        <w:rPr>
          <w:rFonts w:ascii="Times New Roman" w:eastAsia="Times New Roman" w:hAnsi="Times New Roman" w:cs="Times New Roman"/>
          <w:b/>
          <w:sz w:val="28"/>
          <w:szCs w:val="28"/>
        </w:rPr>
        <w:t>BÀI TUYÊN TRUYỀN</w:t>
      </w:r>
    </w:p>
    <w:p w:rsidR="00AB62B5" w:rsidRDefault="00AB62B5" w:rsidP="00DA7E84">
      <w:pPr>
        <w:shd w:val="clear" w:color="auto" w:fill="FFFFFF"/>
        <w:spacing w:after="0" w:line="400" w:lineRule="atLeast"/>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THỰC HIỆN DÂN CHỦ CƠ SỞ NĂM 2022</w:t>
      </w:r>
    </w:p>
    <w:p w:rsidR="00716CAA" w:rsidRPr="00716CAA" w:rsidRDefault="00716CAA" w:rsidP="00716CAA">
      <w:pPr>
        <w:shd w:val="clear" w:color="auto" w:fill="FFFFFF"/>
        <w:spacing w:after="0" w:line="400" w:lineRule="atLeast"/>
        <w:ind w:firstLine="72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Để tiếp tục phát huy những kết quả đạt được, thể chế hóa đầy đủ chủ trương, quan điểm chỉ đạo của Đảng, cụ thể hóa </w:t>
      </w:r>
      <w:hyperlink r:id="rId5" w:tgtFrame="_blank" w:history="1">
        <w:r w:rsidRPr="00716CAA">
          <w:rPr>
            <w:rFonts w:ascii="Times New Roman" w:eastAsia="Times New Roman" w:hAnsi="Times New Roman" w:cs="Times New Roman"/>
            <w:b/>
            <w:bCs/>
            <w:sz w:val="28"/>
            <w:szCs w:val="28"/>
            <w:bdr w:val="none" w:sz="0" w:space="0" w:color="auto" w:frame="1"/>
          </w:rPr>
          <w:t>Hiến pháp năm 2013</w:t>
        </w:r>
      </w:hyperlink>
      <w:r w:rsidRPr="00716CAA">
        <w:rPr>
          <w:rFonts w:ascii="Times New Roman" w:eastAsia="Times New Roman" w:hAnsi="Times New Roman" w:cs="Times New Roman"/>
          <w:sz w:val="28"/>
          <w:szCs w:val="28"/>
        </w:rPr>
        <w:t>, bảo đảm sự thống nhất, đồng bộ của hệ thống pháp luật và khắc phục kịp thời những hạn chế, bất cập trong thực tiễn thực hiện dân chủ ở cơ sở nêu trên thì việc nghiên cứu xây dựng và ban hành Luật Thực hiện dân chủ ở cơ sở là cần thiết. </w:t>
      </w:r>
      <w:r w:rsidRPr="00716CAA">
        <w:rPr>
          <w:rFonts w:ascii="Times New Roman" w:eastAsia="Times New Roman" w:hAnsi="Times New Roman" w:cs="Times New Roman"/>
          <w:i/>
          <w:iCs/>
          <w:sz w:val="28"/>
          <w:szCs w:val="28"/>
          <w:bdr w:val="none" w:sz="0" w:space="0" w:color="auto" w:frame="1"/>
        </w:rPr>
        <w:t>Ngày 10 tháng 11 năm 2022, tại kỳ họp thứ 4, Quốc hội nước Cộng hoà xã hội chủ nghĩa Việt Nam khoá XV đã thông qua Luật Thực hiện dân chủ ở cơ sở năm 2022, có hiệu lực thi hành từ ngày 1/7/2023.</w:t>
      </w:r>
    </w:p>
    <w:p w:rsidR="00716CAA" w:rsidRDefault="00716CAA" w:rsidP="00716CAA">
      <w:pPr>
        <w:shd w:val="clear" w:color="auto" w:fill="FFFFFF"/>
        <w:spacing w:after="0" w:line="400" w:lineRule="atLeast"/>
        <w:ind w:firstLine="72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Luật Thực hiện dân chủ ở cơ sở có 6 Chương, 91 Điều, đây là luật mới, lần đầu được xem xét thông qua, là dấu ấn của nhiệm kỳ Quốc hội khóa XV trong việc kịp thời thể chế hóa đường lối Đại hội Đảng lần thứ XIII và định hướng chương trình xây dựng pháp luật cả nhiệm kỳ khóa XV.</w:t>
      </w:r>
    </w:p>
    <w:p w:rsidR="00C83E19" w:rsidRPr="00716CAA" w:rsidRDefault="00C83E19" w:rsidP="00716CAA">
      <w:pPr>
        <w:shd w:val="clear" w:color="auto" w:fill="FFFFFF"/>
        <w:spacing w:after="0" w:line="400" w:lineRule="atLeast"/>
        <w:ind w:firstLine="720"/>
        <w:jc w:val="both"/>
        <w:rPr>
          <w:rFonts w:ascii="Times New Roman" w:eastAsia="Times New Roman" w:hAnsi="Times New Roman" w:cs="Times New Roman"/>
          <w:sz w:val="28"/>
          <w:szCs w:val="28"/>
        </w:rPr>
      </w:pPr>
      <w:r w:rsidRPr="00C83E19">
        <w:rPr>
          <w:rFonts w:ascii="Times New Roman" w:hAnsi="Times New Roman" w:cs="Times New Roman"/>
          <w:bCs/>
          <w:sz w:val="28"/>
          <w:szCs w:val="28"/>
          <w:shd w:val="clear" w:color="auto" w:fill="FFFFFF"/>
        </w:rPr>
        <w:t>Theo đó, Luật Thực hiện dân chủ ở cơ sở quy định một số nội dung đáng lưu ý như sau:</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b/>
          <w:bCs/>
          <w:color w:val="333333"/>
          <w:sz w:val="28"/>
          <w:szCs w:val="28"/>
        </w:rPr>
        <w:t xml:space="preserve"> </w:t>
      </w:r>
      <w:r w:rsidRPr="00716CAA">
        <w:rPr>
          <w:rFonts w:ascii="Times New Roman" w:eastAsia="Times New Roman" w:hAnsi="Times New Roman" w:cs="Times New Roman"/>
          <w:b/>
          <w:bCs/>
          <w:sz w:val="28"/>
          <w:szCs w:val="28"/>
        </w:rPr>
        <w:t>1. 06 nội dung nhân dân bàn và quyết định trong thực hiện dân chủ cơ sở</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06 nội dung nhân dân bàn và quyết định trong thực hiện dân chủ cơ sở theo Điều 15 </w:t>
      </w:r>
      <w:hyperlink r:id="rId6" w:tgtFrame="_blank" w:history="1">
        <w:r w:rsidRPr="00716CAA">
          <w:rPr>
            <w:rFonts w:ascii="Times New Roman" w:eastAsia="Times New Roman" w:hAnsi="Times New Roman" w:cs="Times New Roman"/>
            <w:sz w:val="28"/>
            <w:szCs w:val="28"/>
          </w:rPr>
          <w:t>Luật Thực hiện dân chủ ở cơ sở 2022</w:t>
        </w:r>
      </w:hyperlink>
      <w:r w:rsidRPr="00716CAA">
        <w:rPr>
          <w:rFonts w:ascii="Times New Roman" w:eastAsia="Times New Roman" w:hAnsi="Times New Roman" w:cs="Times New Roman"/>
          <w:sz w:val="28"/>
          <w:szCs w:val="28"/>
        </w:rPr>
        <w:t> bao gồm:</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(1) Chủ trương và mức đóng góp xây dựng cơ sở hạ tầng, các công trình công cộng trong phạm vi địa bàn cấp xã, ở thôn, tổ dân phố do Nhân dân đóng góp toàn bộ hoặc một phần kinh phí, tài sản, công sức.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(3) Nội dung hương ước, quy ước của cộng đồng dân cư.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(4) Bầu, cho thôi làm Trưởng thôn, Tổ trưởng tổ dân phố.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(5) Bầu, cho thôi làm thành viên Ban Thanh tra nhân dân, Ban Giám sát đầu tư của cộng đồng.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(6) Các công việc tự quản khác trong nội bộ cộng đồng dân cư không trái với quy định của pháp luật, phù hợp với thuần phong, mỹ tục và đạo đức xã hội. </w:t>
      </w:r>
    </w:p>
    <w:p w:rsidR="00716CAA" w:rsidRPr="00716CAA" w:rsidRDefault="00716CAA" w:rsidP="00C83E19">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So với </w:t>
      </w:r>
      <w:hyperlink r:id="rId7" w:tgtFrame="_blank" w:history="1">
        <w:r w:rsidRPr="00716CAA">
          <w:rPr>
            <w:rFonts w:ascii="Times New Roman" w:eastAsia="Times New Roman" w:hAnsi="Times New Roman" w:cs="Times New Roman"/>
            <w:sz w:val="28"/>
            <w:szCs w:val="28"/>
          </w:rPr>
          <w:t>Pháp lệnh thực hiện dân chủ ở xã, phường, thị trấn 2007</w:t>
        </w:r>
      </w:hyperlink>
      <w:r w:rsidRPr="00716CAA">
        <w:rPr>
          <w:rFonts w:ascii="Times New Roman" w:eastAsia="Times New Roman" w:hAnsi="Times New Roman" w:cs="Times New Roman"/>
          <w:sz w:val="28"/>
          <w:szCs w:val="28"/>
        </w:rPr>
        <w:t> thì nội dung nhân dân bàn và quyết định trực tiếp như sau:</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b/>
          <w:bCs/>
          <w:sz w:val="28"/>
          <w:szCs w:val="28"/>
        </w:rPr>
        <w:t>2. Hình thức nhân dân bàn và quyết định trong thực hiện dân chủ cơ sở</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lastRenderedPageBreak/>
        <w:t>Hình thức nhân dân bàn và quyết định trong thực hiện dân chủ cơ sở theo Điều 17 </w:t>
      </w:r>
      <w:hyperlink r:id="rId8" w:tgtFrame="_blank" w:history="1">
        <w:r w:rsidRPr="00716CAA">
          <w:rPr>
            <w:rFonts w:ascii="Times New Roman" w:eastAsia="Times New Roman" w:hAnsi="Times New Roman" w:cs="Times New Roman"/>
            <w:sz w:val="28"/>
            <w:szCs w:val="28"/>
          </w:rPr>
          <w:t>Luật Thực hiện dân chủ ở cơ sở 2022</w:t>
        </w:r>
      </w:hyperlink>
      <w:r w:rsidRPr="00716CAA">
        <w:rPr>
          <w:rFonts w:ascii="Times New Roman" w:eastAsia="Times New Roman" w:hAnsi="Times New Roman" w:cs="Times New Roman"/>
          <w:sz w:val="28"/>
          <w:szCs w:val="28"/>
        </w:rPr>
        <w:t> như sau:</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 Tùy theo nội dung được đề xuất, Chủ tịch Ủy ban nhân dân cấp xã, Trưởng thôn, Tổ trưởng tổ dân phố tổ chức để Nhân dân ở thôn, tổ dân phố bàn và quyết định bằng một trong các hình thức sau đây: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 Tổ chức cuộc họp của cộng đồng dân cư;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 Phát phiếu lấy ý kiến của từng hộ gia đình;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 Biểu quyết trực tuyến phù hợp với mức độ ứng dụng công nghệ thông tin và được cộng đồng dân cư thống nhất lựa chọn.</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 Việc bàn, quyết định các nội dung quy định tại các khoản 3, 4 và 5 Điều 15 </w:t>
      </w:r>
      <w:hyperlink r:id="rId9" w:tgtFrame="_blank" w:history="1">
        <w:r w:rsidRPr="00716CAA">
          <w:rPr>
            <w:rFonts w:ascii="Times New Roman" w:eastAsia="Times New Roman" w:hAnsi="Times New Roman" w:cs="Times New Roman"/>
            <w:sz w:val="28"/>
            <w:szCs w:val="28"/>
          </w:rPr>
          <w:t>Luật Thực hiện dân chủ ở cơ sở 2022</w:t>
        </w:r>
      </w:hyperlink>
      <w:r w:rsidRPr="00716CAA">
        <w:rPr>
          <w:rFonts w:ascii="Times New Roman" w:eastAsia="Times New Roman" w:hAnsi="Times New Roman" w:cs="Times New Roman"/>
          <w:sz w:val="28"/>
          <w:szCs w:val="28"/>
        </w:rPr>
        <w:t> phải được thực hiện tại cuộc họp của cộng đồng dân cư, trừ trường hợp quy định tại điểm b khoản 1 Điều 19 </w:t>
      </w:r>
      <w:hyperlink r:id="rId10" w:tgtFrame="_blank" w:history="1">
        <w:r w:rsidRPr="00716CAA">
          <w:rPr>
            <w:rFonts w:ascii="Times New Roman" w:eastAsia="Times New Roman" w:hAnsi="Times New Roman" w:cs="Times New Roman"/>
            <w:sz w:val="28"/>
            <w:szCs w:val="28"/>
          </w:rPr>
          <w:t>Luật Thực hiện dân chủ ở cơ sở 2022</w:t>
        </w:r>
      </w:hyperlink>
      <w:r w:rsidRPr="00716CAA">
        <w:rPr>
          <w:rFonts w:ascii="Times New Roman" w:eastAsia="Times New Roman" w:hAnsi="Times New Roman" w:cs="Times New Roman"/>
          <w:sz w:val="28"/>
          <w:szCs w:val="28"/>
        </w:rPr>
        <w:t>.</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Hình thức phát phiếu lấy ý kiến của từng hộ gia đình được thực hiện trong các trường hợp quy định tại khoản 1 Điều 19 </w:t>
      </w:r>
      <w:hyperlink r:id="rId11" w:tgtFrame="_blank" w:history="1">
        <w:r w:rsidRPr="00716CAA">
          <w:rPr>
            <w:rFonts w:ascii="Times New Roman" w:eastAsia="Times New Roman" w:hAnsi="Times New Roman" w:cs="Times New Roman"/>
            <w:sz w:val="28"/>
            <w:szCs w:val="28"/>
          </w:rPr>
          <w:t>Luật Thực hiện dân chủ ở cơ sở 2022</w:t>
        </w:r>
      </w:hyperlink>
      <w:r w:rsidRPr="00716CAA">
        <w:rPr>
          <w:rFonts w:ascii="Times New Roman" w:eastAsia="Times New Roman" w:hAnsi="Times New Roman" w:cs="Times New Roman"/>
          <w:sz w:val="28"/>
          <w:szCs w:val="28"/>
        </w:rPr>
        <w:t>.</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Hình thức biểu quyết trực tuyến chỉ áp dụng trong trường hợp cộng đồng dân cư quyết định các công việc quy định tại khoản 6 Điều 15 </w:t>
      </w:r>
      <w:hyperlink r:id="rId12" w:tgtFrame="_blank" w:history="1">
        <w:r w:rsidRPr="00716CAA">
          <w:rPr>
            <w:rFonts w:ascii="Times New Roman" w:eastAsia="Times New Roman" w:hAnsi="Times New Roman" w:cs="Times New Roman"/>
            <w:sz w:val="28"/>
            <w:szCs w:val="28"/>
          </w:rPr>
          <w:t>Luật Thực hiện dân chủ ở cơ sở 2022</w:t>
        </w:r>
      </w:hyperlink>
      <w:r w:rsidRPr="00716CAA">
        <w:rPr>
          <w:rFonts w:ascii="Times New Roman" w:eastAsia="Times New Roman" w:hAnsi="Times New Roman" w:cs="Times New Roman"/>
          <w:sz w:val="28"/>
          <w:szCs w:val="28"/>
        </w:rPr>
        <w:t> mà Trưởng thôn, Tổ trưởng tổ dân phố sau khi thống nhất với Ban công tác Mặt trận ở thôn, tổ dân phố thấy không cần thiết tổ chức cuộc họp của cộng đồng dân cư hoặc phát phiếu lấy ý kiến của từng hộ gia đình.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 Trường hợp pháp luật có quy định khác về việc tổ chức để Nhân dân bàn, quyết định thì thực hiện theo quy định đó.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b/>
          <w:bCs/>
          <w:sz w:val="28"/>
          <w:szCs w:val="28"/>
        </w:rPr>
        <w:t>3. Đề xuất nội dung để nhân dân bàn và quyết định</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Theo Điều 16 </w:t>
      </w:r>
      <w:hyperlink r:id="rId13" w:tgtFrame="_blank" w:history="1">
        <w:r w:rsidRPr="00716CAA">
          <w:rPr>
            <w:rFonts w:ascii="Times New Roman" w:eastAsia="Times New Roman" w:hAnsi="Times New Roman" w:cs="Times New Roman"/>
            <w:sz w:val="28"/>
            <w:szCs w:val="28"/>
          </w:rPr>
          <w:t>Luật Thực hiện dân chủ ở cơ sở 2022</w:t>
        </w:r>
      </w:hyperlink>
      <w:r w:rsidRPr="00716CAA">
        <w:rPr>
          <w:rFonts w:ascii="Times New Roman" w:eastAsia="Times New Roman" w:hAnsi="Times New Roman" w:cs="Times New Roman"/>
          <w:sz w:val="28"/>
          <w:szCs w:val="28"/>
        </w:rPr>
        <w:t> quy định về đề xuất nội dung để nhân dân bàn và quyết định như sau:</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 Đối với các nội dung có phạm vi thực hiện trong địa bàn cấp xã, Chủ tịch Ủy ban nhân dân cấp xã sau khi thống nhất với Chủ tịch Ủy ban Mặt trận Tổ quốc Việt Nam cùng cấp quyết định nội dung, lựa chọn hình thức và chỉ đạo, hướng dẫn Trưởng thôn, Tổ trưởng tổ dân phố tổ chức để Nhân dân bàn và quyết định.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 Đối với các nội dung chỉ có phạm vi thực hiện trong thôn, tổ dân phố, Trưởng thôn, Tổ trưởng tổ dân phố sau khi thống nhất với Trưởng ban công tác Mặt trận ở thôn, tổ dân phố đề xuất nội dung để cộng đồng dân cư bàn và quyết định.</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 Công dân cư trú tại thôn, tổ dân phố có sáng kiến đề xuất về nội dung quy định tại Điều 15 </w:t>
      </w:r>
      <w:hyperlink r:id="rId14" w:tgtFrame="_blank" w:history="1">
        <w:r w:rsidRPr="00716CAA">
          <w:rPr>
            <w:rFonts w:ascii="Times New Roman" w:eastAsia="Times New Roman" w:hAnsi="Times New Roman" w:cs="Times New Roman"/>
            <w:sz w:val="28"/>
            <w:szCs w:val="28"/>
          </w:rPr>
          <w:t>Luật Thực hiện dân chủ ở cơ sở 2022</w:t>
        </w:r>
      </w:hyperlink>
      <w:r w:rsidRPr="00716CAA">
        <w:rPr>
          <w:rFonts w:ascii="Times New Roman" w:eastAsia="Times New Roman" w:hAnsi="Times New Roman" w:cs="Times New Roman"/>
          <w:sz w:val="28"/>
          <w:szCs w:val="28"/>
        </w:rPr>
        <w:t> và được ít nhất là 10% tổng số hộ gia đình tại thôn, tổ dân phố đồng thuận thì:</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lastRenderedPageBreak/>
        <w:t>Gửi đề xuất đến Trưởng thôn, Tổ trưởng tổ dân phố để đưa ra cộng đồng dân cư bàn và quyết định nếu không trái với quy định của pháp luật, phù hợp với thuần phong, mỹ tục và đạo đức xã hội.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Trường hợp sáng kiến của công dân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dân phố đưa ra để cộng đồng dân cư bàn và quyết định. </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w:t>
      </w:r>
    </w:p>
    <w:p w:rsidR="00716CAA" w:rsidRPr="00716CAA" w:rsidRDefault="00716CAA" w:rsidP="00716CAA">
      <w:pPr>
        <w:shd w:val="clear" w:color="auto" w:fill="FFFFFF"/>
        <w:spacing w:line="240" w:lineRule="auto"/>
        <w:ind w:firstLine="60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 </w:t>
      </w:r>
    </w:p>
    <w:p w:rsidR="00716CAA" w:rsidRPr="00716CAA" w:rsidRDefault="00716CAA" w:rsidP="00716CAA">
      <w:pPr>
        <w:shd w:val="clear" w:color="auto" w:fill="FFFFFF"/>
        <w:spacing w:line="400" w:lineRule="atLeast"/>
        <w:ind w:firstLine="720"/>
        <w:jc w:val="both"/>
        <w:rPr>
          <w:rFonts w:ascii="Times New Roman" w:eastAsia="Times New Roman" w:hAnsi="Times New Roman" w:cs="Times New Roman"/>
          <w:sz w:val="28"/>
          <w:szCs w:val="28"/>
        </w:rPr>
      </w:pPr>
      <w:r w:rsidRPr="00716CAA">
        <w:rPr>
          <w:rFonts w:ascii="Times New Roman" w:eastAsia="Times New Roman" w:hAnsi="Times New Roman" w:cs="Times New Roman"/>
          <w:sz w:val="28"/>
          <w:szCs w:val="28"/>
        </w:rPr>
        <w:t xml:space="preserve">4. </w:t>
      </w:r>
      <w:r w:rsidRPr="00716CAA">
        <w:rPr>
          <w:rFonts w:ascii="Times New Roman" w:eastAsia="Times New Roman" w:hAnsi="Times New Roman" w:cs="Times New Roman"/>
          <w:b/>
          <w:bCs/>
          <w:i/>
          <w:iCs/>
          <w:sz w:val="28"/>
          <w:szCs w:val="28"/>
        </w:rPr>
        <w:t>Các hành vi bị nghiêm cấm trong thực hiện dân chủ ở cơ sở (Điều 9):</w:t>
      </w:r>
    </w:p>
    <w:p w:rsidR="00716CAA" w:rsidRPr="00716CAA" w:rsidRDefault="00716CAA" w:rsidP="00716CAA">
      <w:pPr>
        <w:shd w:val="clear" w:color="auto" w:fill="FFFFFF"/>
        <w:spacing w:after="0" w:line="400" w:lineRule="atLeast"/>
        <w:ind w:firstLine="720"/>
        <w:jc w:val="both"/>
        <w:rPr>
          <w:rFonts w:ascii="Times New Roman" w:eastAsia="Times New Roman" w:hAnsi="Times New Roman" w:cs="Times New Roman"/>
          <w:sz w:val="28"/>
          <w:szCs w:val="28"/>
        </w:rPr>
      </w:pPr>
      <w:r w:rsidRPr="00716CAA">
        <w:rPr>
          <w:rFonts w:ascii="Times New Roman" w:eastAsia="Times New Roman" w:hAnsi="Times New Roman" w:cs="Times New Roman"/>
          <w:b/>
          <w:bCs/>
          <w:sz w:val="28"/>
          <w:szCs w:val="28"/>
        </w:rPr>
        <w:t>1.</w:t>
      </w:r>
      <w:r w:rsidRPr="00716CAA">
        <w:rPr>
          <w:rFonts w:ascii="Times New Roman" w:eastAsia="Times New Roman" w:hAnsi="Times New Roman" w:cs="Times New Roman"/>
          <w:sz w:val="28"/>
          <w:szCs w:val="28"/>
        </w:rPr>
        <w:t> Gây khó khăn, phiền hà hoặc cản trở, đe dọa công dân thực hiện dân chủ ở cơ sở.</w:t>
      </w:r>
    </w:p>
    <w:p w:rsidR="00716CAA" w:rsidRPr="00716CAA" w:rsidRDefault="00716CAA" w:rsidP="00716CAA">
      <w:pPr>
        <w:shd w:val="clear" w:color="auto" w:fill="FFFFFF"/>
        <w:spacing w:after="0" w:line="400" w:lineRule="atLeast"/>
        <w:ind w:firstLine="720"/>
        <w:jc w:val="both"/>
        <w:rPr>
          <w:rFonts w:ascii="Times New Roman" w:eastAsia="Times New Roman" w:hAnsi="Times New Roman" w:cs="Times New Roman"/>
          <w:sz w:val="28"/>
          <w:szCs w:val="28"/>
        </w:rPr>
      </w:pPr>
      <w:r w:rsidRPr="00716CAA">
        <w:rPr>
          <w:rFonts w:ascii="Times New Roman" w:eastAsia="Times New Roman" w:hAnsi="Times New Roman" w:cs="Times New Roman"/>
          <w:b/>
          <w:bCs/>
          <w:sz w:val="28"/>
          <w:szCs w:val="28"/>
        </w:rPr>
        <w:t>2.</w:t>
      </w:r>
      <w:r w:rsidRPr="00716CAA">
        <w:rPr>
          <w:rFonts w:ascii="Times New Roman" w:eastAsia="Times New Roman" w:hAnsi="Times New Roman" w:cs="Times New Roman"/>
          <w:sz w:val="28"/>
          <w:szCs w:val="28"/>
        </w:rPr>
        <w:t>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716CAA" w:rsidRPr="00716CAA" w:rsidRDefault="00716CAA" w:rsidP="00716CAA">
      <w:pPr>
        <w:shd w:val="clear" w:color="auto" w:fill="FFFFFF"/>
        <w:spacing w:after="0" w:line="400" w:lineRule="atLeast"/>
        <w:ind w:firstLine="720"/>
        <w:jc w:val="both"/>
        <w:rPr>
          <w:rFonts w:ascii="Times New Roman" w:eastAsia="Times New Roman" w:hAnsi="Times New Roman" w:cs="Times New Roman"/>
          <w:sz w:val="28"/>
          <w:szCs w:val="28"/>
        </w:rPr>
      </w:pPr>
      <w:r w:rsidRPr="00716CAA">
        <w:rPr>
          <w:rFonts w:ascii="Times New Roman" w:eastAsia="Times New Roman" w:hAnsi="Times New Roman" w:cs="Times New Roman"/>
          <w:b/>
          <w:bCs/>
          <w:sz w:val="28"/>
          <w:szCs w:val="28"/>
        </w:rPr>
        <w:t>3.</w:t>
      </w:r>
      <w:r w:rsidRPr="00716CAA">
        <w:rPr>
          <w:rFonts w:ascii="Times New Roman" w:eastAsia="Times New Roman" w:hAnsi="Times New Roman" w:cs="Times New Roman"/>
          <w:sz w:val="28"/>
          <w:szCs w:val="28"/>
        </w:rPr>
        <w:t> Lợi dụng việc thực hiện dân chủ ở cơ sở để thực hiện hành vi xâm phạm an ninh quốc gia, trật tự, an toàn xã hội, xâm phạm lợi ích của Nhà nước, quyền, lợi ích hợp pháp của tổ chức, cá nhân.</w:t>
      </w:r>
    </w:p>
    <w:p w:rsidR="00716CAA" w:rsidRPr="00716CAA" w:rsidRDefault="00716CAA" w:rsidP="00716CAA">
      <w:pPr>
        <w:shd w:val="clear" w:color="auto" w:fill="FFFFFF"/>
        <w:spacing w:after="0" w:line="400" w:lineRule="atLeast"/>
        <w:ind w:firstLine="720"/>
        <w:jc w:val="both"/>
        <w:rPr>
          <w:rFonts w:ascii="Times New Roman" w:eastAsia="Times New Roman" w:hAnsi="Times New Roman" w:cs="Times New Roman"/>
          <w:sz w:val="28"/>
          <w:szCs w:val="28"/>
        </w:rPr>
      </w:pPr>
      <w:r w:rsidRPr="00716CAA">
        <w:rPr>
          <w:rFonts w:ascii="Times New Roman" w:eastAsia="Times New Roman" w:hAnsi="Times New Roman" w:cs="Times New Roman"/>
          <w:b/>
          <w:bCs/>
          <w:sz w:val="28"/>
          <w:szCs w:val="28"/>
        </w:rPr>
        <w:t>4.</w:t>
      </w:r>
      <w:r w:rsidRPr="00716CAA">
        <w:rPr>
          <w:rFonts w:ascii="Times New Roman" w:eastAsia="Times New Roman" w:hAnsi="Times New Roman" w:cs="Times New Roman"/>
          <w:sz w:val="28"/>
          <w:szCs w:val="28"/>
        </w:rPr>
        <w:t> Lợi dụng việc thực hiện dân chủ ở cơ sở để xuyên tạc, vu khống, gây mâu thuẫn, kích động bạo lực, phân biệt vùng, miền, giới tính, tôn giáo, dân tộc, gây thiệt hại cho cá nhân, cơ quan, đơn vị, tổ chức.</w:t>
      </w:r>
    </w:p>
    <w:p w:rsidR="00716CAA" w:rsidRPr="00716CAA" w:rsidRDefault="00716CAA" w:rsidP="00716CAA">
      <w:pPr>
        <w:shd w:val="clear" w:color="auto" w:fill="FFFFFF"/>
        <w:spacing w:after="0" w:line="400" w:lineRule="atLeast"/>
        <w:ind w:firstLine="720"/>
        <w:jc w:val="both"/>
        <w:rPr>
          <w:rFonts w:ascii="Times New Roman" w:eastAsia="Times New Roman" w:hAnsi="Times New Roman" w:cs="Times New Roman"/>
          <w:sz w:val="28"/>
          <w:szCs w:val="28"/>
        </w:rPr>
      </w:pPr>
      <w:r w:rsidRPr="00716CAA">
        <w:rPr>
          <w:rFonts w:ascii="Times New Roman" w:eastAsia="Times New Roman" w:hAnsi="Times New Roman" w:cs="Times New Roman"/>
          <w:b/>
          <w:bCs/>
          <w:sz w:val="28"/>
          <w:szCs w:val="28"/>
        </w:rPr>
        <w:t>5</w:t>
      </w:r>
      <w:r w:rsidRPr="00716CAA">
        <w:rPr>
          <w:rFonts w:ascii="Times New Roman" w:eastAsia="Times New Roman" w:hAnsi="Times New Roman" w:cs="Times New Roman"/>
          <w:sz w:val="28"/>
          <w:szCs w:val="28"/>
        </w:rPr>
        <w:t>. Giả mạo giấy tờ, gian lận hoặc dùng thủ đoạn khác để làm sai lệch kết quả bàn, quyết định, tham gia ý kiến của công dân.</w:t>
      </w:r>
    </w:p>
    <w:p w:rsidR="00716CAA" w:rsidRPr="00716CAA" w:rsidRDefault="00716CAA" w:rsidP="00716CAA">
      <w:pPr>
        <w:shd w:val="clear" w:color="auto" w:fill="FFFFFF"/>
        <w:spacing w:after="0" w:line="400" w:lineRule="atLeast"/>
        <w:ind w:firstLine="720"/>
        <w:jc w:val="both"/>
        <w:rPr>
          <w:rFonts w:ascii="Arial" w:eastAsia="Times New Roman" w:hAnsi="Arial" w:cs="Arial"/>
          <w:sz w:val="21"/>
          <w:szCs w:val="21"/>
        </w:rPr>
      </w:pPr>
      <w:r>
        <w:rPr>
          <w:rFonts w:ascii="Arial" w:eastAsia="Times New Roman" w:hAnsi="Arial" w:cs="Arial"/>
          <w:b/>
          <w:bCs/>
          <w:sz w:val="21"/>
          <w:szCs w:val="21"/>
        </w:rPr>
        <w:t>                        </w:t>
      </w:r>
    </w:p>
    <w:p w:rsidR="00716CAA" w:rsidRPr="00716CAA" w:rsidRDefault="00DA7E84" w:rsidP="00716CAA">
      <w:pPr>
        <w:shd w:val="clear" w:color="auto" w:fill="FFFFFF"/>
        <w:spacing w:line="240" w:lineRule="auto"/>
        <w:ind w:firstLine="600"/>
        <w:jc w:val="both"/>
        <w:rPr>
          <w:rFonts w:ascii="Times New Roman" w:eastAsia="Times New Roman" w:hAnsi="Times New Roman" w:cs="Times New Roman"/>
          <w:sz w:val="28"/>
          <w:szCs w:val="28"/>
        </w:rPr>
      </w:pPr>
      <w:hyperlink r:id="rId15" w:tgtFrame="_blank" w:history="1">
        <w:r w:rsidR="00716CAA" w:rsidRPr="00716CAA">
          <w:rPr>
            <w:rFonts w:ascii="Times New Roman" w:eastAsia="Times New Roman" w:hAnsi="Times New Roman" w:cs="Times New Roman"/>
            <w:sz w:val="28"/>
            <w:szCs w:val="28"/>
          </w:rPr>
          <w:t>Luật Thực hiện dân chủ ở cơ sở 2022</w:t>
        </w:r>
      </w:hyperlink>
      <w:r w:rsidR="00716CAA" w:rsidRPr="00716CAA">
        <w:rPr>
          <w:rFonts w:ascii="Times New Roman" w:eastAsia="Times New Roman" w:hAnsi="Times New Roman" w:cs="Times New Roman"/>
          <w:sz w:val="28"/>
          <w:szCs w:val="28"/>
        </w:rPr>
        <w:t> có hiệu lực từ 01/7/2023, thay thế </w:t>
      </w:r>
      <w:hyperlink r:id="rId16" w:tgtFrame="_blank" w:history="1">
        <w:r w:rsidR="00716CAA" w:rsidRPr="00716CAA">
          <w:rPr>
            <w:rFonts w:ascii="Times New Roman" w:eastAsia="Times New Roman" w:hAnsi="Times New Roman" w:cs="Times New Roman"/>
            <w:sz w:val="28"/>
            <w:szCs w:val="28"/>
          </w:rPr>
          <w:t>Pháp lệnh thực hiện dân chủ ở xã, phường, thị trấn 2007</w:t>
        </w:r>
      </w:hyperlink>
      <w:r w:rsidR="00716CAA" w:rsidRPr="00716CAA">
        <w:rPr>
          <w:rFonts w:ascii="Times New Roman" w:eastAsia="Times New Roman" w:hAnsi="Times New Roman" w:cs="Times New Roman"/>
          <w:sz w:val="28"/>
          <w:szCs w:val="28"/>
        </w:rPr>
        <w:t> và </w:t>
      </w:r>
      <w:hyperlink r:id="rId17" w:tgtFrame="_blank" w:history="1">
        <w:r w:rsidR="00716CAA" w:rsidRPr="00716CAA">
          <w:rPr>
            <w:rFonts w:ascii="Times New Roman" w:eastAsia="Times New Roman" w:hAnsi="Times New Roman" w:cs="Times New Roman"/>
            <w:sz w:val="28"/>
            <w:szCs w:val="28"/>
          </w:rPr>
          <w:t>Nghị quyết 55/1998/NQ-UBTVQH10</w:t>
        </w:r>
      </w:hyperlink>
      <w:r w:rsidR="00716CAA" w:rsidRPr="00716CAA">
        <w:rPr>
          <w:rFonts w:ascii="Times New Roman" w:eastAsia="Times New Roman" w:hAnsi="Times New Roman" w:cs="Times New Roman"/>
          <w:sz w:val="28"/>
          <w:szCs w:val="28"/>
        </w:rPr>
        <w:t>.</w:t>
      </w:r>
    </w:p>
    <w:p w:rsidR="002D74A7" w:rsidRPr="00716CAA" w:rsidRDefault="00DA7E84" w:rsidP="00716CAA">
      <w:pPr>
        <w:jc w:val="both"/>
        <w:rPr>
          <w:rFonts w:ascii="Times New Roman" w:hAnsi="Times New Roman" w:cs="Times New Roman"/>
          <w:sz w:val="28"/>
          <w:szCs w:val="28"/>
        </w:rPr>
      </w:pPr>
      <w:bookmarkStart w:id="0" w:name="_GoBack"/>
      <w:bookmarkEnd w:id="0"/>
    </w:p>
    <w:sectPr w:rsidR="002D74A7" w:rsidRPr="00716CAA" w:rsidSect="00AB62B5">
      <w:pgSz w:w="12240" w:h="15840"/>
      <w:pgMar w:top="567" w:right="104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AA"/>
    <w:rsid w:val="002E3AAA"/>
    <w:rsid w:val="00716CAA"/>
    <w:rsid w:val="00AB62B5"/>
    <w:rsid w:val="00C83E19"/>
    <w:rsid w:val="00CD4F1A"/>
    <w:rsid w:val="00DA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0837">
      <w:bodyDiv w:val="1"/>
      <w:marLeft w:val="0"/>
      <w:marRight w:val="0"/>
      <w:marTop w:val="0"/>
      <w:marBottom w:val="0"/>
      <w:divBdr>
        <w:top w:val="none" w:sz="0" w:space="0" w:color="auto"/>
        <w:left w:val="none" w:sz="0" w:space="0" w:color="auto"/>
        <w:bottom w:val="none" w:sz="0" w:space="0" w:color="auto"/>
        <w:right w:val="none" w:sz="0" w:space="0" w:color="auto"/>
      </w:divBdr>
      <w:divsChild>
        <w:div w:id="358236485">
          <w:marLeft w:val="0"/>
          <w:marRight w:val="0"/>
          <w:marTop w:val="0"/>
          <w:marBottom w:val="0"/>
          <w:divBdr>
            <w:top w:val="none" w:sz="0" w:space="0" w:color="auto"/>
            <w:left w:val="none" w:sz="0" w:space="0" w:color="auto"/>
            <w:bottom w:val="none" w:sz="0" w:space="0" w:color="auto"/>
            <w:right w:val="none" w:sz="0" w:space="0" w:color="auto"/>
          </w:divBdr>
        </w:div>
      </w:divsChild>
    </w:div>
    <w:div w:id="770782085">
      <w:bodyDiv w:val="1"/>
      <w:marLeft w:val="0"/>
      <w:marRight w:val="0"/>
      <w:marTop w:val="0"/>
      <w:marBottom w:val="0"/>
      <w:divBdr>
        <w:top w:val="none" w:sz="0" w:space="0" w:color="auto"/>
        <w:left w:val="none" w:sz="0" w:space="0" w:color="auto"/>
        <w:bottom w:val="none" w:sz="0" w:space="0" w:color="auto"/>
        <w:right w:val="none" w:sz="0" w:space="0" w:color="auto"/>
      </w:divBdr>
    </w:div>
    <w:div w:id="8825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Luat-Thuc-hien-dan-chu-o-co-so-nam-2022-546085.aspx?ac=emails" TargetMode="External"/><Relationship Id="rId13" Type="http://schemas.openxmlformats.org/officeDocument/2006/relationships/hyperlink" Target="https://thuvienphapluat.vn/van-ban/Quyen-dan-su/Luat-Thuc-hien-dan-chu-o-co-so-nam-2022-546085.aspx?ac=email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thuvienphapluat.vn/van-ban/Quyen-dan-su/Phap-lenh-thuc-hien-dan-chu-o-xa-phuong-thi-tran-2007-34-2007-PL-UBTVQH11-19071.aspx" TargetMode="External"/><Relationship Id="rId12" Type="http://schemas.openxmlformats.org/officeDocument/2006/relationships/hyperlink" Target="https://thuvienphapluat.vn/van-ban/Quyen-dan-su/Luat-Thuc-hien-dan-chu-o-co-so-nam-2022-546085.aspx?ac=emails" TargetMode="External"/><Relationship Id="rId17" Type="http://schemas.openxmlformats.org/officeDocument/2006/relationships/hyperlink" Target="https://thuvienphapluat.vn/van-ban/Bo-may-hanh-chinh/Nghi-quyet-55-NQ-UBTVQH10-Quy-che-thuc-hien-dan-chu-trong-hoat-dong-cua-co-quan-41941.aspx" TargetMode="External"/><Relationship Id="rId2" Type="http://schemas.microsoft.com/office/2007/relationships/stylesWithEffects" Target="stylesWithEffects.xml"/><Relationship Id="rId16" Type="http://schemas.openxmlformats.org/officeDocument/2006/relationships/hyperlink" Target="https://thuvienphapluat.vn/van-ban/Quyen-dan-su/Phap-lenh-thuc-hien-dan-chu-o-xa-phuong-thi-tran-2007-34-2007-PL-UBTVQH11-19071.aspx"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thuvienphapluat.vn/van-ban/Quyen-dan-su/Luat-Thuc-hien-dan-chu-o-co-so-nam-2022-546085.aspx?ac=emails" TargetMode="External"/><Relationship Id="rId11" Type="http://schemas.openxmlformats.org/officeDocument/2006/relationships/hyperlink" Target="https://thuvienphapluat.vn/van-ban/Quyen-dan-su/Luat-Thuc-hien-dan-chu-o-co-so-nam-2022-546085.aspx?ac=emails" TargetMode="External"/><Relationship Id="rId5" Type="http://schemas.openxmlformats.org/officeDocument/2006/relationships/hyperlink" Target="https://youtu.be/gbqBpQwCCBI" TargetMode="External"/><Relationship Id="rId15" Type="http://schemas.openxmlformats.org/officeDocument/2006/relationships/hyperlink" Target="https://thuvienphapluat.vn/van-ban/Quyen-dan-su/Luat-Thuc-hien-dan-chu-o-co-so-nam-2022-546085.aspx?ac=emails" TargetMode="External"/><Relationship Id="rId10" Type="http://schemas.openxmlformats.org/officeDocument/2006/relationships/hyperlink" Target="https://thuvienphapluat.vn/van-ban/Quyen-dan-su/Luat-Thuc-hien-dan-chu-o-co-so-nam-2022-546085.aspx?ac=emai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van-ban/Quyen-dan-su/Luat-Thuc-hien-dan-chu-o-co-so-nam-2022-546085.aspx?ac=emails" TargetMode="External"/><Relationship Id="rId14" Type="http://schemas.openxmlformats.org/officeDocument/2006/relationships/hyperlink" Target="https://thuvienphapluat.vn/van-ban/Quyen-dan-su/Luat-Thuc-hien-dan-chu-o-co-so-nam-2022-546085.aspx?ac=email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1923B-060A-4692-B9BA-DF605D5968F0}"/>
</file>

<file path=customXml/itemProps2.xml><?xml version="1.0" encoding="utf-8"?>
<ds:datastoreItem xmlns:ds="http://schemas.openxmlformats.org/officeDocument/2006/customXml" ds:itemID="{0F80A98A-79FD-4A60-BCA6-40943D4D4E4B}"/>
</file>

<file path=customXml/itemProps3.xml><?xml version="1.0" encoding="utf-8"?>
<ds:datastoreItem xmlns:ds="http://schemas.openxmlformats.org/officeDocument/2006/customXml" ds:itemID="{54E5A01A-2FB4-4C77-95BF-74B8A77A3AF0}"/>
</file>

<file path=docProps/app.xml><?xml version="1.0" encoding="utf-8"?>
<Properties xmlns="http://schemas.openxmlformats.org/officeDocument/2006/extended-properties" xmlns:vt="http://schemas.openxmlformats.org/officeDocument/2006/docPropsVTypes">
  <Template>Normal.dotm</Template>
  <TotalTime>21</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2023-04-07T00:44:00Z</dcterms:created>
  <dcterms:modified xsi:type="dcterms:W3CDTF">2023-04-17T02:11:00Z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